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22DC" w:rsidRDefault="004D22DC" w:rsidP="004D22DC">
      <w:pPr>
        <w:pStyle w:val="2"/>
        <w:jc w:val="center"/>
        <w:rPr>
          <w:rFonts w:eastAsiaTheme="minorEastAsia" w:cs="Nobel-Regular"/>
          <w:b/>
          <w:bCs w:val="0"/>
          <w:color w:val="231F20"/>
          <w:szCs w:val="18"/>
          <w:lang w:val="en-US"/>
        </w:rPr>
      </w:pPr>
      <w:r w:rsidRPr="004D22DC">
        <w:rPr>
          <w:rFonts w:eastAsiaTheme="minorEastAsia" w:cs="Nobel-Regular"/>
          <w:b/>
          <w:bCs w:val="0"/>
          <w:color w:val="231F20"/>
          <w:szCs w:val="18"/>
          <w:lang w:val="en-US"/>
        </w:rPr>
        <w:t>ERTICO – ITS Europe, ITS America and ITS Asia-Pacific pact promises to take Mobility as a Service to the next level</w:t>
      </w:r>
    </w:p>
    <w:p w:rsidR="00612B75" w:rsidRDefault="009D49E3" w:rsidP="00C842D6">
      <w:pPr>
        <w:rPr>
          <w:rFonts w:eastAsiaTheme="majorEastAsia" w:cs="Arial"/>
          <w:bCs/>
          <w:color w:val="E74F3D" w:themeColor="accent3"/>
          <w:sz w:val="24"/>
          <w:szCs w:val="24"/>
          <w:lang w:val="en-GB"/>
        </w:rPr>
      </w:pPr>
      <w:r>
        <w:rPr>
          <w:rFonts w:eastAsiaTheme="majorEastAsia" w:cs="Arial"/>
          <w:bCs/>
          <w:noProof/>
          <w:color w:val="E74F3D" w:themeColor="accent3"/>
          <w:sz w:val="24"/>
          <w:szCs w:val="24"/>
          <w:lang w:val="en-GB"/>
        </w:rPr>
        <w:drawing>
          <wp:anchor distT="0" distB="0" distL="114300" distR="114300" simplePos="0" relativeHeight="251658240" behindDoc="0" locked="0" layoutInCell="1" allowOverlap="1">
            <wp:simplePos x="0" y="0"/>
            <wp:positionH relativeFrom="margin">
              <wp:posOffset>0</wp:posOffset>
            </wp:positionH>
            <wp:positionV relativeFrom="paragraph">
              <wp:posOffset>58420</wp:posOffset>
            </wp:positionV>
            <wp:extent cx="6188075" cy="3481705"/>
            <wp:effectExtent l="0" t="0" r="3175" b="444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aS MOU ERTICO.jpg"/>
                    <pic:cNvPicPr/>
                  </pic:nvPicPr>
                  <pic:blipFill>
                    <a:blip r:embed="rId8"/>
                    <a:stretch>
                      <a:fillRect/>
                    </a:stretch>
                  </pic:blipFill>
                  <pic:spPr>
                    <a:xfrm>
                      <a:off x="0" y="0"/>
                      <a:ext cx="6188075" cy="3481705"/>
                    </a:xfrm>
                    <a:prstGeom prst="rect">
                      <a:avLst/>
                    </a:prstGeom>
                  </pic:spPr>
                </pic:pic>
              </a:graphicData>
            </a:graphic>
            <wp14:sizeRelH relativeFrom="page">
              <wp14:pctWidth>0</wp14:pctWidth>
            </wp14:sizeRelH>
            <wp14:sizeRelV relativeFrom="page">
              <wp14:pctHeight>0</wp14:pctHeight>
            </wp14:sizeRelV>
          </wp:anchor>
        </w:drawing>
      </w:r>
    </w:p>
    <w:p w:rsidR="00E82F1F" w:rsidRDefault="00E82F1F" w:rsidP="00C842D6">
      <w:pPr>
        <w:rPr>
          <w:rFonts w:eastAsiaTheme="majorEastAsia" w:cs="Arial"/>
          <w:bCs/>
          <w:color w:val="E74F3D" w:themeColor="accent3"/>
          <w:sz w:val="24"/>
          <w:szCs w:val="24"/>
          <w:lang w:val="en-GB"/>
        </w:rPr>
      </w:pPr>
    </w:p>
    <w:p w:rsidR="00E82F1F" w:rsidRDefault="00E82F1F" w:rsidP="00C842D6">
      <w:pPr>
        <w:rPr>
          <w:rFonts w:eastAsiaTheme="majorEastAsia" w:cs="Arial"/>
          <w:bCs/>
          <w:color w:val="E74F3D" w:themeColor="accent3"/>
          <w:sz w:val="24"/>
          <w:szCs w:val="24"/>
          <w:lang w:val="en-GB"/>
        </w:rPr>
      </w:pPr>
    </w:p>
    <w:p w:rsidR="00E82F1F" w:rsidRDefault="00E82F1F" w:rsidP="00C842D6">
      <w:pPr>
        <w:rPr>
          <w:rFonts w:eastAsiaTheme="majorEastAsia" w:cs="Arial"/>
          <w:bCs/>
          <w:color w:val="E74F3D" w:themeColor="accent3"/>
          <w:sz w:val="24"/>
          <w:szCs w:val="24"/>
          <w:lang w:val="en-GB"/>
        </w:rPr>
      </w:pPr>
    </w:p>
    <w:p w:rsidR="00E82F1F" w:rsidRDefault="00E82F1F" w:rsidP="00C842D6">
      <w:pPr>
        <w:rPr>
          <w:rFonts w:eastAsiaTheme="majorEastAsia" w:cs="Arial"/>
          <w:bCs/>
          <w:color w:val="E74F3D" w:themeColor="accent3"/>
          <w:sz w:val="24"/>
          <w:szCs w:val="24"/>
          <w:lang w:val="en-GB"/>
        </w:rPr>
      </w:pPr>
    </w:p>
    <w:p w:rsidR="00E82F1F" w:rsidRDefault="00E82F1F" w:rsidP="00C842D6">
      <w:pPr>
        <w:rPr>
          <w:rFonts w:eastAsiaTheme="majorEastAsia" w:cs="Arial"/>
          <w:bCs/>
          <w:color w:val="E74F3D" w:themeColor="accent3"/>
          <w:sz w:val="24"/>
          <w:szCs w:val="24"/>
          <w:lang w:val="en-GB"/>
        </w:rPr>
      </w:pPr>
    </w:p>
    <w:p w:rsidR="00E82F1F" w:rsidRDefault="00E82F1F" w:rsidP="00C842D6">
      <w:pPr>
        <w:rPr>
          <w:rFonts w:eastAsiaTheme="majorEastAsia" w:cs="Arial"/>
          <w:bCs/>
          <w:color w:val="E74F3D" w:themeColor="accent3"/>
          <w:sz w:val="24"/>
          <w:szCs w:val="24"/>
          <w:lang w:val="en-GB"/>
        </w:rPr>
      </w:pPr>
    </w:p>
    <w:p w:rsidR="00E82F1F" w:rsidRDefault="00E82F1F" w:rsidP="00C842D6">
      <w:pPr>
        <w:rPr>
          <w:rFonts w:eastAsiaTheme="majorEastAsia" w:cs="Arial"/>
          <w:bCs/>
          <w:color w:val="E74F3D" w:themeColor="accent3"/>
          <w:sz w:val="24"/>
          <w:szCs w:val="24"/>
          <w:lang w:val="en-GB"/>
        </w:rPr>
      </w:pPr>
    </w:p>
    <w:p w:rsidR="00E82F1F" w:rsidRDefault="00E82F1F" w:rsidP="00C842D6">
      <w:pPr>
        <w:rPr>
          <w:rFonts w:eastAsiaTheme="majorEastAsia" w:cs="Arial"/>
          <w:bCs/>
          <w:color w:val="E74F3D" w:themeColor="accent3"/>
          <w:sz w:val="24"/>
          <w:szCs w:val="24"/>
          <w:lang w:val="en-GB"/>
        </w:rPr>
      </w:pPr>
    </w:p>
    <w:p w:rsidR="00E82F1F" w:rsidRDefault="00E82F1F" w:rsidP="00C842D6">
      <w:pPr>
        <w:rPr>
          <w:rFonts w:eastAsiaTheme="majorEastAsia" w:cs="Arial"/>
          <w:bCs/>
          <w:color w:val="E74F3D" w:themeColor="accent3"/>
          <w:sz w:val="24"/>
          <w:szCs w:val="24"/>
          <w:lang w:val="en-GB"/>
        </w:rPr>
      </w:pPr>
    </w:p>
    <w:p w:rsidR="00E82F1F" w:rsidRDefault="00E82F1F" w:rsidP="00C842D6">
      <w:pPr>
        <w:rPr>
          <w:rFonts w:eastAsiaTheme="majorEastAsia" w:cs="Arial"/>
          <w:bCs/>
          <w:color w:val="E74F3D" w:themeColor="accent3"/>
          <w:sz w:val="24"/>
          <w:szCs w:val="24"/>
          <w:lang w:val="en-GB"/>
        </w:rPr>
      </w:pPr>
    </w:p>
    <w:p w:rsidR="00E82F1F" w:rsidRDefault="00E82F1F" w:rsidP="00C842D6">
      <w:pPr>
        <w:rPr>
          <w:rFonts w:eastAsiaTheme="majorEastAsia" w:cs="Arial" w:hint="eastAsia"/>
          <w:bCs/>
          <w:color w:val="E74F3D" w:themeColor="accent3"/>
          <w:sz w:val="24"/>
          <w:szCs w:val="24"/>
          <w:lang w:val="en-GB"/>
        </w:rPr>
      </w:pPr>
    </w:p>
    <w:p w:rsidR="004D22DC" w:rsidRDefault="004D22DC" w:rsidP="00C842D6">
      <w:pPr>
        <w:rPr>
          <w:rFonts w:eastAsiaTheme="majorEastAsia" w:cs="Arial"/>
          <w:bCs/>
          <w:color w:val="E74F3D" w:themeColor="accent3"/>
          <w:sz w:val="24"/>
          <w:szCs w:val="24"/>
          <w:lang w:val="en-GB"/>
        </w:rPr>
      </w:pPr>
      <w:r w:rsidRPr="004D22DC">
        <w:rPr>
          <w:rFonts w:eastAsiaTheme="majorEastAsia" w:cs="Arial"/>
          <w:bCs/>
          <w:color w:val="E74F3D" w:themeColor="accent3"/>
          <w:sz w:val="24"/>
          <w:szCs w:val="24"/>
          <w:lang w:val="en-GB"/>
        </w:rPr>
        <w:t>These three leading organisations in the field of intelligent mobility sign today a Memorandum of Understanding to push the rapid development of seamless, integrated transport systems and services in the three global regions.</w:t>
      </w:r>
    </w:p>
    <w:p w:rsidR="004D22DC" w:rsidRDefault="004D22DC" w:rsidP="00C842D6">
      <w:pPr>
        <w:rPr>
          <w:rFonts w:eastAsiaTheme="majorEastAsia" w:cs="Arial"/>
          <w:bCs/>
          <w:color w:val="E74F3D" w:themeColor="accent3"/>
          <w:sz w:val="24"/>
          <w:szCs w:val="24"/>
          <w:lang w:val="en-GB"/>
        </w:rPr>
      </w:pPr>
    </w:p>
    <w:p w:rsidR="009D49E3" w:rsidRDefault="009D49E3" w:rsidP="00C842D6">
      <w:pPr>
        <w:rPr>
          <w:rFonts w:eastAsiaTheme="majorEastAsia" w:cs="Arial"/>
          <w:bCs/>
          <w:color w:val="E74F3D" w:themeColor="accent3"/>
          <w:sz w:val="24"/>
          <w:szCs w:val="24"/>
          <w:lang w:val="en-GB"/>
        </w:rPr>
      </w:pPr>
    </w:p>
    <w:p w:rsidR="009D49E3" w:rsidRDefault="009D49E3" w:rsidP="00C842D6">
      <w:pPr>
        <w:rPr>
          <w:rFonts w:eastAsiaTheme="majorEastAsia" w:cs="Arial" w:hint="eastAsia"/>
          <w:bCs/>
          <w:color w:val="E74F3D" w:themeColor="accent3"/>
          <w:sz w:val="24"/>
          <w:szCs w:val="24"/>
          <w:lang w:val="en-GB"/>
        </w:rPr>
      </w:pPr>
      <w:bookmarkStart w:id="0" w:name="_GoBack"/>
      <w:bookmarkEnd w:id="0"/>
    </w:p>
    <w:p w:rsidR="004D22DC" w:rsidRPr="004D22DC" w:rsidRDefault="004D22DC" w:rsidP="004D22DC">
      <w:pPr>
        <w:rPr>
          <w:lang w:val="en-GB"/>
        </w:rPr>
      </w:pPr>
      <w:r w:rsidRPr="004D22DC">
        <w:rPr>
          <w:lang w:val="en-GB"/>
        </w:rPr>
        <w:t xml:space="preserve">Singapore, </w:t>
      </w:r>
      <w:r w:rsidR="00DC3061">
        <w:rPr>
          <w:lang w:val="en-GB"/>
        </w:rPr>
        <w:t>23</w:t>
      </w:r>
      <w:r w:rsidRPr="004D22DC">
        <w:rPr>
          <w:lang w:val="en-GB"/>
        </w:rPr>
        <w:t xml:space="preserve"> October </w:t>
      </w:r>
      <w:r w:rsidR="00DC3061">
        <w:rPr>
          <w:lang w:val="en-GB"/>
        </w:rPr>
        <w:t xml:space="preserve">2019 </w:t>
      </w:r>
      <w:r w:rsidRPr="004D22DC">
        <w:rPr>
          <w:lang w:val="en-GB"/>
        </w:rPr>
        <w:t xml:space="preserve">– Today ERTICO – ITS Europe, ITS America and ITS Asia-Pacific team-up to foster international cooperation and information exchange on Mobility on Demand (MOD) and Mobility as a Service (MaaS) for all three regions. </w:t>
      </w:r>
    </w:p>
    <w:p w:rsidR="004D22DC" w:rsidRDefault="004D22DC" w:rsidP="004D22DC">
      <w:pPr>
        <w:rPr>
          <w:lang w:val="en-GB"/>
        </w:rPr>
      </w:pPr>
    </w:p>
    <w:p w:rsidR="004D22DC" w:rsidRPr="004D22DC" w:rsidRDefault="004D22DC" w:rsidP="004D22DC">
      <w:pPr>
        <w:rPr>
          <w:lang w:val="en-GB"/>
        </w:rPr>
      </w:pPr>
      <w:r w:rsidRPr="004D22DC">
        <w:rPr>
          <w:lang w:val="en-GB"/>
        </w:rPr>
        <w:t>Jacob Bangsgaard, ERTICO CEO said: “We are pleased to continue the work on Mobility as a Service with our international colleagues from the US and excited to expand this collaboration into the Asia-Pacific region where MaaS is becoming a central theme. Regardless of the location we share the same objective to improve users’ mobility experien</w:t>
      </w:r>
      <w:r>
        <w:rPr>
          <w:lang w:val="en-GB"/>
        </w:rPr>
        <w:t xml:space="preserve">ce and services and tackle the </w:t>
      </w:r>
      <w:r w:rsidRPr="004D22DC">
        <w:rPr>
          <w:lang w:val="en-GB"/>
        </w:rPr>
        <w:t>burning challenges related to everyday mobility”.</w:t>
      </w:r>
    </w:p>
    <w:p w:rsidR="004D22DC" w:rsidRDefault="004D22DC" w:rsidP="004D22DC">
      <w:pPr>
        <w:rPr>
          <w:lang w:val="en-GB"/>
        </w:rPr>
      </w:pPr>
    </w:p>
    <w:p w:rsidR="004D22DC" w:rsidRPr="004D22DC" w:rsidRDefault="004D22DC" w:rsidP="004D22DC">
      <w:pPr>
        <w:rPr>
          <w:lang w:val="en-GB"/>
        </w:rPr>
      </w:pPr>
      <w:proofErr w:type="spellStart"/>
      <w:r w:rsidRPr="004D22DC">
        <w:rPr>
          <w:lang w:val="en-GB"/>
        </w:rPr>
        <w:t>Shailen</w:t>
      </w:r>
      <w:proofErr w:type="spellEnd"/>
      <w:r w:rsidRPr="004D22DC">
        <w:rPr>
          <w:lang w:val="en-GB"/>
        </w:rPr>
        <w:t xml:space="preserve"> Bhatt, President &amp; CEO, ITS America said: “On demand mobility is transforming how people and cargo move globally. ITS America and the Mobility on Demand Alliance are looking forward to collaborating with our partners in the Asia-Pacific and Europe to focus on many of the critical issues such as data sharing, insurance, effective infrastructure and operations management, integrated trip planning and payment and others that create a more seamless mobility experience for users.”</w:t>
      </w:r>
    </w:p>
    <w:p w:rsidR="004D22DC" w:rsidRDefault="004D22DC" w:rsidP="004D22DC">
      <w:pPr>
        <w:rPr>
          <w:lang w:val="en-GB"/>
        </w:rPr>
      </w:pPr>
    </w:p>
    <w:p w:rsidR="004D22DC" w:rsidRPr="004D22DC" w:rsidRDefault="004D22DC" w:rsidP="004D22DC">
      <w:pPr>
        <w:rPr>
          <w:lang w:val="en-GB"/>
        </w:rPr>
      </w:pPr>
      <w:r w:rsidRPr="004D22DC">
        <w:rPr>
          <w:lang w:val="en-GB"/>
        </w:rPr>
        <w:t>Hajime Amano, Secretary General, ITS Asia-Pacific said: “We have a large number of mega cities in Asia-Pacific region, where growth rate is so high that transportation network is not keeping up with the pace. Efficient use of existing and emerging mobility services with MaaS is a key to mitigate mobility challenges and we have a lot to learn from European and American colleagues on technologies, policies and behavioural changes of people”.</w:t>
      </w:r>
    </w:p>
    <w:p w:rsidR="004D22DC" w:rsidRDefault="004D22DC" w:rsidP="004D22DC">
      <w:pPr>
        <w:rPr>
          <w:lang w:val="en-GB"/>
        </w:rPr>
      </w:pPr>
    </w:p>
    <w:p w:rsidR="004D22DC" w:rsidRPr="004D22DC" w:rsidRDefault="004D22DC" w:rsidP="004D22DC">
      <w:pPr>
        <w:rPr>
          <w:lang w:val="en-GB"/>
        </w:rPr>
      </w:pPr>
      <w:r w:rsidRPr="004D22DC">
        <w:rPr>
          <w:lang w:val="en-GB"/>
        </w:rPr>
        <w:t>Asia-Pacific, North America and Eur</w:t>
      </w:r>
      <w:r w:rsidR="00612B75">
        <w:rPr>
          <w:lang w:val="en-GB"/>
        </w:rPr>
        <w:t xml:space="preserve">ope face similar challenges in MOD/MaaS developments, </w:t>
      </w:r>
      <w:r w:rsidRPr="004D22DC">
        <w:rPr>
          <w:lang w:val="en-GB"/>
        </w:rPr>
        <w:t>thus a structured cooperation on new mobility services is warmly welcomed. The Memorandum of Understanding (MoU) is a starting point for strengthening international cooperat</w:t>
      </w:r>
      <w:r w:rsidR="00612B75">
        <w:rPr>
          <w:lang w:val="en-GB"/>
        </w:rPr>
        <w:t xml:space="preserve">ion and creating the basis for </w:t>
      </w:r>
      <w:r w:rsidRPr="004D22DC">
        <w:rPr>
          <w:lang w:val="en-GB"/>
        </w:rPr>
        <w:t>regular information exchange.</w:t>
      </w:r>
    </w:p>
    <w:p w:rsidR="004D22DC" w:rsidRDefault="004D22DC" w:rsidP="004D22DC">
      <w:pPr>
        <w:rPr>
          <w:lang w:val="en-GB"/>
        </w:rPr>
      </w:pPr>
    </w:p>
    <w:p w:rsidR="004D22DC" w:rsidRPr="004D22DC" w:rsidRDefault="004D22DC" w:rsidP="004D22DC">
      <w:pPr>
        <w:rPr>
          <w:lang w:val="en-GB"/>
        </w:rPr>
      </w:pPr>
      <w:r w:rsidRPr="004D22DC">
        <w:rPr>
          <w:lang w:val="en-GB"/>
        </w:rPr>
        <w:t>The MoU signed today promotes the development of common policies, standards, governance, business models and technologies in the MOD/MaaS industry. It also strengthens the interoperability and scalability of solutions and services. With this purpose, the three regions agree to co-organise dedicated MOD/MaaS market conferences in conjunction with the annual ITS World Congresses as well as other delegations of stakeholders, to leverage global synergies and to better understand the developments of the new business models and their applications in different environments.</w:t>
      </w:r>
    </w:p>
    <w:p w:rsidR="004D22DC" w:rsidRPr="004D22DC" w:rsidRDefault="004D22DC" w:rsidP="004D22DC">
      <w:pPr>
        <w:rPr>
          <w:lang w:val="en-GB"/>
        </w:rPr>
      </w:pPr>
    </w:p>
    <w:p w:rsidR="00F76799" w:rsidRPr="004D22DC" w:rsidRDefault="004D22DC" w:rsidP="00B81208">
      <w:pPr>
        <w:rPr>
          <w:lang w:val="en-GB"/>
        </w:rPr>
      </w:pPr>
      <w:r w:rsidRPr="004D22DC">
        <w:rPr>
          <w:lang w:val="en-GB"/>
        </w:rPr>
        <w:t xml:space="preserve"> </w:t>
      </w:r>
    </w:p>
    <w:p w:rsidR="00F76799" w:rsidRDefault="00F76799" w:rsidP="004115E7"/>
    <w:sectPr w:rsidR="00F76799" w:rsidSect="00ED023B">
      <w:headerReference w:type="even" r:id="rId9"/>
      <w:headerReference w:type="default" r:id="rId10"/>
      <w:footerReference w:type="even" r:id="rId11"/>
      <w:footerReference w:type="default" r:id="rId12"/>
      <w:type w:val="continuous"/>
      <w:pgSz w:w="11900" w:h="16840"/>
      <w:pgMar w:top="3261" w:right="1021" w:bottom="1021" w:left="850" w:header="1418" w:footer="397" w:gutter="284"/>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7C9B" w:rsidRDefault="00D37C9B" w:rsidP="00B81208">
      <w:r>
        <w:separator/>
      </w:r>
    </w:p>
    <w:p w:rsidR="00D37C9B" w:rsidRDefault="00D37C9B" w:rsidP="00B81208"/>
  </w:endnote>
  <w:endnote w:type="continuationSeparator" w:id="0">
    <w:p w:rsidR="00D37C9B" w:rsidRDefault="00D37C9B" w:rsidP="00B81208">
      <w:r>
        <w:continuationSeparator/>
      </w:r>
    </w:p>
    <w:p w:rsidR="00D37C9B" w:rsidRDefault="00D37C9B" w:rsidP="00B812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bel Regular">
    <w:panose1 w:val="00000000000000000000"/>
    <w:charset w:val="00"/>
    <w:family w:val="modern"/>
    <w:notTrueType/>
    <w:pitch w:val="variable"/>
    <w:sig w:usb0="800000AF" w:usb1="5000204A"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Nobel-Regular">
    <w:altName w:val="Times New Roman"/>
    <w:charset w:val="00"/>
    <w:family w:val="auto"/>
    <w:pitch w:val="variable"/>
    <w:sig w:usb0="00000000" w:usb1="00000040" w:usb2="00000000"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0D95" w:rsidRDefault="00090D95" w:rsidP="00B81208">
    <w:pPr>
      <w:rPr>
        <w:rStyle w:val="a8"/>
      </w:rPr>
    </w:pPr>
    <w:r>
      <w:rPr>
        <w:rStyle w:val="a8"/>
      </w:rPr>
      <w:fldChar w:fldCharType="begin"/>
    </w:r>
    <w:r>
      <w:rPr>
        <w:rStyle w:val="a8"/>
      </w:rPr>
      <w:instrText xml:space="preserve">PAGE  </w:instrText>
    </w:r>
    <w:r>
      <w:rPr>
        <w:rStyle w:val="a8"/>
      </w:rPr>
      <w:fldChar w:fldCharType="separate"/>
    </w:r>
    <w:r>
      <w:rPr>
        <w:rStyle w:val="a8"/>
        <w:noProof/>
      </w:rPr>
      <w:t>2</w:t>
    </w:r>
    <w:r>
      <w:rPr>
        <w:rStyle w:val="a8"/>
      </w:rPr>
      <w:fldChar w:fldCharType="end"/>
    </w:r>
  </w:p>
  <w:p w:rsidR="00090D95" w:rsidRDefault="00090D95" w:rsidP="00B81208"/>
  <w:p w:rsidR="00090D95" w:rsidRDefault="00090D95" w:rsidP="00B81208"/>
  <w:p w:rsidR="00F9517C" w:rsidRDefault="00F9517C" w:rsidP="00B8120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2D1" w:rsidRDefault="00532B00" w:rsidP="00B81208">
    <w:pPr>
      <w:pStyle w:val="a6"/>
    </w:pPr>
    <w:r>
      <w:rPr>
        <w:noProof/>
        <w:lang w:val="en-GB" w:eastAsia="en-GB"/>
      </w:rPr>
      <w:drawing>
        <wp:anchor distT="0" distB="0" distL="114300" distR="114300" simplePos="0" relativeHeight="251667968" behindDoc="1" locked="0" layoutInCell="1" allowOverlap="1" wp14:anchorId="57A73C1A" wp14:editId="45B9836B">
          <wp:simplePos x="0" y="0"/>
          <wp:positionH relativeFrom="page">
            <wp:posOffset>5361940</wp:posOffset>
          </wp:positionH>
          <wp:positionV relativeFrom="paragraph">
            <wp:posOffset>-600710</wp:posOffset>
          </wp:positionV>
          <wp:extent cx="8131810" cy="2331720"/>
          <wp:effectExtent l="0" t="819150" r="0" b="69723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rtico energywaves.png"/>
                  <pic:cNvPicPr/>
                </pic:nvPicPr>
                <pic:blipFill rotWithShape="1">
                  <a:blip r:embed="rId1">
                    <a:extLst>
                      <a:ext uri="{28A0092B-C50C-407E-A947-70E740481C1C}">
                        <a14:useLocalDpi xmlns:a14="http://schemas.microsoft.com/office/drawing/2010/main" val="0"/>
                      </a:ext>
                    </a:extLst>
                  </a:blip>
                  <a:srcRect t="73675" r="12180"/>
                  <a:stretch/>
                </pic:blipFill>
                <pic:spPr bwMode="auto">
                  <a:xfrm rot="11755374">
                    <a:off x="0" y="0"/>
                    <a:ext cx="8131810" cy="2331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799" w:rsidRPr="00B81208">
      <w:tab/>
    </w:r>
  </w:p>
  <w:p w:rsidR="002B52D1" w:rsidRDefault="002B52D1" w:rsidP="00B81208">
    <w:pPr>
      <w:pStyle w:val="a6"/>
    </w:pPr>
  </w:p>
  <w:p w:rsidR="00F9517C" w:rsidRPr="00B81208" w:rsidRDefault="003F7B5C" w:rsidP="003F7B5C">
    <w:pPr>
      <w:pStyle w:val="a6"/>
      <w:ind w:left="0"/>
    </w:pPr>
    <w:r>
      <w:rPr>
        <w:b w:val="0"/>
        <w:sz w:val="16"/>
      </w:rPr>
      <w:tab/>
    </w:r>
    <w:r w:rsidR="0064227D" w:rsidRPr="00B81208">
      <w:t xml:space="preserve">Innovation for </w:t>
    </w:r>
    <w:r w:rsidR="0064227D" w:rsidRPr="002B52D1">
      <w:t>tomorrow’s</w:t>
    </w:r>
    <w:r w:rsidR="0064227D" w:rsidRPr="00B81208">
      <w:t xml:space="preserve"> journey</w:t>
    </w:r>
    <w:r w:rsidR="00551B69">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7C9B" w:rsidRDefault="00D37C9B" w:rsidP="00B81208">
      <w:r>
        <w:separator/>
      </w:r>
    </w:p>
    <w:p w:rsidR="00D37C9B" w:rsidRDefault="00D37C9B" w:rsidP="00B81208"/>
  </w:footnote>
  <w:footnote w:type="continuationSeparator" w:id="0">
    <w:p w:rsidR="00D37C9B" w:rsidRDefault="00D37C9B" w:rsidP="00B81208">
      <w:r>
        <w:continuationSeparator/>
      </w:r>
    </w:p>
    <w:p w:rsidR="00D37C9B" w:rsidRDefault="00D37C9B" w:rsidP="00B812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0" w:rightFromText="180" w:vertAnchor="page" w:horzAnchor="page" w:tblpX="616" w:tblpY="852"/>
      <w:tblW w:w="5000" w:type="pct"/>
      <w:tblCellMar>
        <w:top w:w="72" w:type="dxa"/>
        <w:left w:w="115" w:type="dxa"/>
        <w:bottom w:w="72" w:type="dxa"/>
        <w:right w:w="115" w:type="dxa"/>
      </w:tblCellMar>
      <w:tblLook w:val="04A0" w:firstRow="1" w:lastRow="0" w:firstColumn="1" w:lastColumn="0" w:noHBand="0" w:noVBand="1"/>
    </w:tblPr>
    <w:tblGrid>
      <w:gridCol w:w="483"/>
      <w:gridCol w:w="9262"/>
    </w:tblGrid>
    <w:tr w:rsidR="00090D95" w:rsidRPr="00EA45DF" w:rsidTr="00351BE7">
      <w:tc>
        <w:tcPr>
          <w:tcW w:w="248" w:type="pct"/>
          <w:tcBorders>
            <w:bottom w:val="single" w:sz="4" w:space="0" w:color="300072" w:themeColor="accent2" w:themeShade="BF"/>
          </w:tcBorders>
          <w:shd w:val="clear" w:color="auto" w:fill="300072" w:themeFill="accent2" w:themeFillShade="BF"/>
          <w:vAlign w:val="bottom"/>
        </w:tcPr>
        <w:p w:rsidR="00090D95" w:rsidRPr="00124693" w:rsidRDefault="00090D95" w:rsidP="004D3326">
          <w:pPr>
            <w:pStyle w:val="a4"/>
            <w:rPr>
              <w:b/>
            </w:rPr>
          </w:pPr>
          <w:r w:rsidRPr="00124693">
            <w:rPr>
              <w:b/>
            </w:rPr>
            <w:fldChar w:fldCharType="begin"/>
          </w:r>
          <w:r w:rsidRPr="00124693">
            <w:instrText xml:space="preserve"> PAGE   \* MERGEFORMAT </w:instrText>
          </w:r>
          <w:r w:rsidRPr="00124693">
            <w:rPr>
              <w:b/>
            </w:rPr>
            <w:fldChar w:fldCharType="separate"/>
          </w:r>
          <w:r w:rsidRPr="00543A6C">
            <w:t>2</w:t>
          </w:r>
          <w:r w:rsidRPr="00124693">
            <w:rPr>
              <w:b/>
            </w:rPr>
            <w:fldChar w:fldCharType="end"/>
          </w:r>
        </w:p>
      </w:tc>
      <w:tc>
        <w:tcPr>
          <w:tcW w:w="4752" w:type="pct"/>
          <w:tcBorders>
            <w:bottom w:val="single" w:sz="4" w:space="0" w:color="auto"/>
          </w:tcBorders>
          <w:vAlign w:val="bottom"/>
        </w:tcPr>
        <w:p w:rsidR="00090D95" w:rsidRPr="00E53259" w:rsidRDefault="00090D95" w:rsidP="00B81208">
          <w:pPr>
            <w:rPr>
              <w:rFonts w:ascii="Calibri" w:hAnsi="Calibri"/>
              <w:bCs/>
              <w:color w:val="303434" w:themeColor="text1"/>
              <w:sz w:val="24"/>
              <w:szCs w:val="24"/>
            </w:rPr>
          </w:pPr>
          <w:r w:rsidRPr="00E53259">
            <w:rPr>
              <w:rFonts w:ascii="Calibri" w:hAnsi="Calibri"/>
              <w:color w:val="303434" w:themeColor="text1"/>
              <w:sz w:val="24"/>
              <w:szCs w:val="24"/>
            </w:rPr>
            <w:t>[</w:t>
          </w:r>
          <w:r w:rsidRPr="0023225A">
            <w:rPr>
              <w:rStyle w:val="10"/>
              <w:sz w:val="48"/>
              <w:szCs w:val="48"/>
            </w:rPr>
            <w:t>OFFICIAL APPLICATION FOR ERTICO PARTNERSHIP</w:t>
          </w:r>
          <w:r w:rsidRPr="00E53259">
            <w:rPr>
              <w:rFonts w:ascii="Calibri" w:hAnsi="Calibri"/>
              <w:color w:val="303434" w:themeColor="text1"/>
              <w:sz w:val="24"/>
              <w:szCs w:val="24"/>
            </w:rPr>
            <w:t>]</w:t>
          </w:r>
        </w:p>
      </w:tc>
    </w:tr>
  </w:tbl>
  <w:p w:rsidR="00090D95" w:rsidRPr="00351BE7" w:rsidRDefault="00090D95" w:rsidP="004D3326">
    <w:pPr>
      <w:pStyle w:val="a4"/>
    </w:pPr>
    <w:r w:rsidRPr="00351BE7">
      <w:drawing>
        <wp:anchor distT="0" distB="0" distL="114300" distR="114300" simplePos="0" relativeHeight="251660288" behindDoc="0" locked="0" layoutInCell="1" allowOverlap="1" wp14:anchorId="60A11D98" wp14:editId="1FF93261">
          <wp:simplePos x="0" y="0"/>
          <wp:positionH relativeFrom="page">
            <wp:posOffset>5386070</wp:posOffset>
          </wp:positionH>
          <wp:positionV relativeFrom="page">
            <wp:posOffset>300355</wp:posOffset>
          </wp:positionV>
          <wp:extent cx="1772290" cy="11430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RTICO_offic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229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17C" w:rsidRDefault="00F9517C" w:rsidP="00B8120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326" w:rsidRDefault="00247B7E" w:rsidP="004D3326">
    <w:pPr>
      <w:pStyle w:val="a4"/>
      <w:rPr>
        <w:rStyle w:val="af2"/>
      </w:rPr>
    </w:pPr>
    <w:r w:rsidRPr="00B81208">
      <w:rPr>
        <w:rStyle w:val="af2"/>
      </w:rPr>
      <w:drawing>
        <wp:anchor distT="0" distB="0" distL="114300" distR="114300" simplePos="0" relativeHeight="251665920" behindDoc="0" locked="0" layoutInCell="1" allowOverlap="1" wp14:anchorId="360E64C4" wp14:editId="613C8F83">
          <wp:simplePos x="0" y="0"/>
          <wp:positionH relativeFrom="page">
            <wp:posOffset>6058535</wp:posOffset>
          </wp:positionH>
          <wp:positionV relativeFrom="page">
            <wp:posOffset>819150</wp:posOffset>
          </wp:positionV>
          <wp:extent cx="1047750" cy="6769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TICO logo_2019_Positive_RGB.png"/>
                  <pic:cNvPicPr/>
                </pic:nvPicPr>
                <pic:blipFill>
                  <a:blip r:embed="rId1">
                    <a:extLst>
                      <a:ext uri="{28A0092B-C50C-407E-A947-70E740481C1C}">
                        <a14:useLocalDpi xmlns:a14="http://schemas.microsoft.com/office/drawing/2010/main" val="0"/>
                      </a:ext>
                    </a:extLst>
                  </a:blip>
                  <a:stretch>
                    <a:fillRect/>
                  </a:stretch>
                </pic:blipFill>
                <pic:spPr>
                  <a:xfrm>
                    <a:off x="0" y="0"/>
                    <a:ext cx="1047750" cy="676910"/>
                  </a:xfrm>
                  <a:prstGeom prst="rect">
                    <a:avLst/>
                  </a:prstGeom>
                </pic:spPr>
              </pic:pic>
            </a:graphicData>
          </a:graphic>
          <wp14:sizeRelH relativeFrom="margin">
            <wp14:pctWidth>0</wp14:pctWidth>
          </wp14:sizeRelH>
          <wp14:sizeRelV relativeFrom="margin">
            <wp14:pctHeight>0</wp14:pctHeight>
          </wp14:sizeRelV>
        </wp:anchor>
      </w:drawing>
    </w:r>
    <w:r w:rsidR="00A377F3">
      <w:drawing>
        <wp:anchor distT="0" distB="0" distL="114300" distR="114300" simplePos="0" relativeHeight="251668992" behindDoc="1" locked="0" layoutInCell="1" allowOverlap="1" wp14:anchorId="6B5A8C66" wp14:editId="0BC90FE8">
          <wp:simplePos x="0" y="0"/>
          <wp:positionH relativeFrom="column">
            <wp:posOffset>4585335</wp:posOffset>
          </wp:positionH>
          <wp:positionV relativeFrom="paragraph">
            <wp:posOffset>-59690</wp:posOffset>
          </wp:positionV>
          <wp:extent cx="685800" cy="539750"/>
          <wp:effectExtent l="0" t="0" r="0" b="0"/>
          <wp:wrapTight wrapText="bothSides">
            <wp:wrapPolygon edited="0">
              <wp:start x="0" y="0"/>
              <wp:lineTo x="0" y="20584"/>
              <wp:lineTo x="21000" y="20584"/>
              <wp:lineTo x="210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S Asia Pacific Logo.JPG"/>
                  <pic:cNvPicPr/>
                </pic:nvPicPr>
                <pic:blipFill>
                  <a:blip r:embed="rId2">
                    <a:extLst>
                      <a:ext uri="{28A0092B-C50C-407E-A947-70E740481C1C}">
                        <a14:useLocalDpi xmlns:a14="http://schemas.microsoft.com/office/drawing/2010/main" val="0"/>
                      </a:ext>
                    </a:extLst>
                  </a:blip>
                  <a:stretch>
                    <a:fillRect/>
                  </a:stretch>
                </pic:blipFill>
                <pic:spPr>
                  <a:xfrm>
                    <a:off x="0" y="0"/>
                    <a:ext cx="685800" cy="539750"/>
                  </a:xfrm>
                  <a:prstGeom prst="rect">
                    <a:avLst/>
                  </a:prstGeom>
                </pic:spPr>
              </pic:pic>
            </a:graphicData>
          </a:graphic>
          <wp14:sizeRelH relativeFrom="page">
            <wp14:pctWidth>0</wp14:pctWidth>
          </wp14:sizeRelH>
          <wp14:sizeRelV relativeFrom="page">
            <wp14:pctHeight>0</wp14:pctHeight>
          </wp14:sizeRelV>
        </wp:anchor>
      </w:drawing>
    </w:r>
    <w:r w:rsidR="00805836">
      <w:rPr>
        <w:rStyle w:val="af2"/>
      </w:rPr>
      <w:t>23 October</w:t>
    </w:r>
    <w:r w:rsidR="004D3326">
      <w:rPr>
        <w:rStyle w:val="af2"/>
      </w:rPr>
      <w:t xml:space="preserve"> 2019</w:t>
    </w:r>
  </w:p>
  <w:p w:rsidR="004D3326" w:rsidRPr="00C842D6" w:rsidRDefault="00A377F3" w:rsidP="00C842D6">
    <w:pPr>
      <w:pStyle w:val="ac"/>
    </w:pPr>
    <w:r>
      <w:rPr>
        <w:noProof/>
        <w:lang w:eastAsia="en-GB"/>
      </w:rPr>
      <w:drawing>
        <wp:anchor distT="0" distB="0" distL="114300" distR="114300" simplePos="0" relativeHeight="251670016" behindDoc="1" locked="0" layoutInCell="1" allowOverlap="1" wp14:anchorId="3B73EB82" wp14:editId="691EA4DA">
          <wp:simplePos x="0" y="0"/>
          <wp:positionH relativeFrom="column">
            <wp:posOffset>3242310</wp:posOffset>
          </wp:positionH>
          <wp:positionV relativeFrom="paragraph">
            <wp:posOffset>24765</wp:posOffset>
          </wp:positionV>
          <wp:extent cx="1266825" cy="316230"/>
          <wp:effectExtent l="0" t="0" r="9525" b="7620"/>
          <wp:wrapTight wrapText="bothSides">
            <wp:wrapPolygon edited="0">
              <wp:start x="0" y="0"/>
              <wp:lineTo x="0" y="20819"/>
              <wp:lineTo x="21438" y="20819"/>
              <wp:lineTo x="214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3">
                    <a:extLst>
                      <a:ext uri="{28A0092B-C50C-407E-A947-70E740481C1C}">
                        <a14:useLocalDpi xmlns:a14="http://schemas.microsoft.com/office/drawing/2010/main" val="0"/>
                      </a:ext>
                    </a:extLst>
                  </a:blip>
                  <a:stretch>
                    <a:fillRect/>
                  </a:stretch>
                </pic:blipFill>
                <pic:spPr>
                  <a:xfrm>
                    <a:off x="0" y="0"/>
                    <a:ext cx="1266825" cy="316230"/>
                  </a:xfrm>
                  <a:prstGeom prst="rect">
                    <a:avLst/>
                  </a:prstGeom>
                </pic:spPr>
              </pic:pic>
            </a:graphicData>
          </a:graphic>
          <wp14:sizeRelH relativeFrom="page">
            <wp14:pctWidth>0</wp14:pctWidth>
          </wp14:sizeRelH>
          <wp14:sizeRelV relativeFrom="page">
            <wp14:pctHeight>0</wp14:pctHeight>
          </wp14:sizeRelV>
        </wp:anchor>
      </w:drawing>
    </w:r>
    <w:r w:rsidR="004D3326" w:rsidRPr="00C842D6">
      <w:t>PRESS RELEASE</w:t>
    </w:r>
    <w:r>
      <w:rPr>
        <w:noProof/>
        <w:lang w:eastAsia="en-GB"/>
      </w:rPr>
      <w:t xml:space="preserve">  </w:t>
    </w:r>
  </w:p>
  <w:p w:rsidR="00C556C4" w:rsidRPr="00B82997" w:rsidRDefault="00C556C4" w:rsidP="004D3326">
    <w:pPr>
      <w:pStyle w:val="a4"/>
      <w:rPr>
        <w:lang w:val="fr-BE"/>
      </w:rPr>
    </w:pPr>
  </w:p>
  <w:p w:rsidR="00C842D6" w:rsidRPr="00B82997" w:rsidRDefault="00C842D6" w:rsidP="004D3326">
    <w:pPr>
      <w:pStyle w:val="a4"/>
      <w:rPr>
        <w:lang w:val="fr-BE"/>
      </w:rPr>
    </w:pPr>
  </w:p>
  <w:p w:rsidR="00C842D6" w:rsidRPr="00B82997" w:rsidRDefault="00C842D6" w:rsidP="004D3326">
    <w:pPr>
      <w:pStyle w:val="a4"/>
      <w:rPr>
        <w:lang w:val="fr-BE"/>
      </w:rPr>
    </w:pPr>
  </w:p>
  <w:p w:rsidR="00C842D6" w:rsidRPr="00B82997" w:rsidRDefault="00C842D6" w:rsidP="004D3326">
    <w:pPr>
      <w:pStyle w:val="a4"/>
      <w:rPr>
        <w:rStyle w:val="af2"/>
        <w:lang w:val="fr-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1.75pt" o:bullet="t">
        <v:imagedata r:id="rId1" o:title="check"/>
      </v:shape>
    </w:pict>
  </w:numPicBullet>
  <w:numPicBullet w:numPicBulletId="1">
    <w:pict>
      <v:shape id="_x0000_i1027" type="#_x0000_t75" style="width:28.5pt;height:28.5pt" o:bullet="t">
        <v:imagedata r:id="rId2" o:title="check2"/>
      </v:shape>
    </w:pict>
  </w:numPicBullet>
  <w:abstractNum w:abstractNumId="0" w15:restartNumberingAfterBreak="0">
    <w:nsid w:val="FFFFFF1D"/>
    <w:multiLevelType w:val="multilevel"/>
    <w:tmpl w:val="5F605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79085C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C54354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CAA00C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AFB9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2DA9A9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E10FA9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C40230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9F886E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AC113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2AEC72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49164B"/>
    <w:multiLevelType w:val="hybridMultilevel"/>
    <w:tmpl w:val="03D2CE26"/>
    <w:lvl w:ilvl="0" w:tplc="079EBA5C">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343D4A"/>
    <w:multiLevelType w:val="hybridMultilevel"/>
    <w:tmpl w:val="17C2C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D908EB"/>
    <w:multiLevelType w:val="hybridMultilevel"/>
    <w:tmpl w:val="A5428042"/>
    <w:lvl w:ilvl="0" w:tplc="22F43C92">
      <w:start w:val="1"/>
      <w:numFmt w:val="bullet"/>
      <w:lvlText w:val=""/>
      <w:lvlPicBulletId w:val="1"/>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FC481B"/>
    <w:multiLevelType w:val="hybridMultilevel"/>
    <w:tmpl w:val="F4AC0B54"/>
    <w:lvl w:ilvl="0" w:tplc="224E79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B5373E"/>
    <w:multiLevelType w:val="hybridMultilevel"/>
    <w:tmpl w:val="2A242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AA79BA"/>
    <w:multiLevelType w:val="hybridMultilevel"/>
    <w:tmpl w:val="AA4467DC"/>
    <w:lvl w:ilvl="0" w:tplc="E6AC0F86">
      <w:start w:val="1"/>
      <w:numFmt w:val="decimal"/>
      <w:pStyle w:val="NumbersListParagraph"/>
      <w:lvlText w:val="%1."/>
      <w:lvlJc w:val="left"/>
      <w:pPr>
        <w:ind w:left="284" w:hanging="284"/>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DE65B9"/>
    <w:multiLevelType w:val="hybridMultilevel"/>
    <w:tmpl w:val="772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CA38D6"/>
    <w:multiLevelType w:val="multilevel"/>
    <w:tmpl w:val="03D2CE26"/>
    <w:styleLink w:val="NumbsList"/>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A0C2311"/>
    <w:multiLevelType w:val="hybridMultilevel"/>
    <w:tmpl w:val="EAA8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325583"/>
    <w:multiLevelType w:val="hybridMultilevel"/>
    <w:tmpl w:val="578E4C70"/>
    <w:lvl w:ilvl="0" w:tplc="BB625240">
      <w:start w:val="1"/>
      <w:numFmt w:val="bullet"/>
      <w:pStyle w:val="a"/>
      <w:lvlText w:val=""/>
      <w:lvlJc w:val="left"/>
      <w:pPr>
        <w:ind w:left="284"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3178D5"/>
    <w:multiLevelType w:val="hybridMultilevel"/>
    <w:tmpl w:val="D102E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C6643D"/>
    <w:multiLevelType w:val="hybridMultilevel"/>
    <w:tmpl w:val="8D34AED6"/>
    <w:lvl w:ilvl="0" w:tplc="F102A270">
      <w:start w:val="1"/>
      <w:numFmt w:val="bullet"/>
      <w:pStyle w:val="CheckListParagraph"/>
      <w:lvlText w:val=""/>
      <w:lvlPicBulletId w:val="1"/>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784666C4"/>
    <w:multiLevelType w:val="hybridMultilevel"/>
    <w:tmpl w:val="BB5087FC"/>
    <w:lvl w:ilvl="0" w:tplc="22F43C92">
      <w:start w:val="1"/>
      <w:numFmt w:val="bullet"/>
      <w:lvlText w:val=""/>
      <w:lvlPicBulletId w:val="1"/>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D9707B"/>
    <w:multiLevelType w:val="hybridMultilevel"/>
    <w:tmpl w:val="BCD0EBF6"/>
    <w:lvl w:ilvl="0" w:tplc="EABA7D00">
      <w:start w:val="1"/>
      <w:numFmt w:val="bullet"/>
      <w:lvlText w:val=""/>
      <w:lvlJc w:val="left"/>
      <w:pPr>
        <w:tabs>
          <w:tab w:val="num" w:pos="720"/>
        </w:tabs>
        <w:ind w:left="720" w:hanging="360"/>
      </w:pPr>
      <w:rPr>
        <w:rFonts w:ascii="Wingdings" w:hAnsi="Wingdings" w:hint="default"/>
      </w:rPr>
    </w:lvl>
    <w:lvl w:ilvl="1" w:tplc="FC282902" w:tentative="1">
      <w:start w:val="1"/>
      <w:numFmt w:val="bullet"/>
      <w:lvlText w:val=""/>
      <w:lvlJc w:val="left"/>
      <w:pPr>
        <w:tabs>
          <w:tab w:val="num" w:pos="1440"/>
        </w:tabs>
        <w:ind w:left="1440" w:hanging="360"/>
      </w:pPr>
      <w:rPr>
        <w:rFonts w:ascii="Wingdings" w:hAnsi="Wingdings" w:hint="default"/>
      </w:rPr>
    </w:lvl>
    <w:lvl w:ilvl="2" w:tplc="892CC816" w:tentative="1">
      <w:start w:val="1"/>
      <w:numFmt w:val="bullet"/>
      <w:lvlText w:val=""/>
      <w:lvlJc w:val="left"/>
      <w:pPr>
        <w:tabs>
          <w:tab w:val="num" w:pos="2160"/>
        </w:tabs>
        <w:ind w:left="2160" w:hanging="360"/>
      </w:pPr>
      <w:rPr>
        <w:rFonts w:ascii="Wingdings" w:hAnsi="Wingdings" w:hint="default"/>
      </w:rPr>
    </w:lvl>
    <w:lvl w:ilvl="3" w:tplc="6D082E7C" w:tentative="1">
      <w:start w:val="1"/>
      <w:numFmt w:val="bullet"/>
      <w:lvlText w:val=""/>
      <w:lvlJc w:val="left"/>
      <w:pPr>
        <w:tabs>
          <w:tab w:val="num" w:pos="2880"/>
        </w:tabs>
        <w:ind w:left="2880" w:hanging="360"/>
      </w:pPr>
      <w:rPr>
        <w:rFonts w:ascii="Wingdings" w:hAnsi="Wingdings" w:hint="default"/>
      </w:rPr>
    </w:lvl>
    <w:lvl w:ilvl="4" w:tplc="D08049DC" w:tentative="1">
      <w:start w:val="1"/>
      <w:numFmt w:val="bullet"/>
      <w:lvlText w:val=""/>
      <w:lvlJc w:val="left"/>
      <w:pPr>
        <w:tabs>
          <w:tab w:val="num" w:pos="3600"/>
        </w:tabs>
        <w:ind w:left="3600" w:hanging="360"/>
      </w:pPr>
      <w:rPr>
        <w:rFonts w:ascii="Wingdings" w:hAnsi="Wingdings" w:hint="default"/>
      </w:rPr>
    </w:lvl>
    <w:lvl w:ilvl="5" w:tplc="13B8EB72" w:tentative="1">
      <w:start w:val="1"/>
      <w:numFmt w:val="bullet"/>
      <w:lvlText w:val=""/>
      <w:lvlJc w:val="left"/>
      <w:pPr>
        <w:tabs>
          <w:tab w:val="num" w:pos="4320"/>
        </w:tabs>
        <w:ind w:left="4320" w:hanging="360"/>
      </w:pPr>
      <w:rPr>
        <w:rFonts w:ascii="Wingdings" w:hAnsi="Wingdings" w:hint="default"/>
      </w:rPr>
    </w:lvl>
    <w:lvl w:ilvl="6" w:tplc="3AC2AC1A" w:tentative="1">
      <w:start w:val="1"/>
      <w:numFmt w:val="bullet"/>
      <w:lvlText w:val=""/>
      <w:lvlJc w:val="left"/>
      <w:pPr>
        <w:tabs>
          <w:tab w:val="num" w:pos="5040"/>
        </w:tabs>
        <w:ind w:left="5040" w:hanging="360"/>
      </w:pPr>
      <w:rPr>
        <w:rFonts w:ascii="Wingdings" w:hAnsi="Wingdings" w:hint="default"/>
      </w:rPr>
    </w:lvl>
    <w:lvl w:ilvl="7" w:tplc="CF5ED352" w:tentative="1">
      <w:start w:val="1"/>
      <w:numFmt w:val="bullet"/>
      <w:lvlText w:val=""/>
      <w:lvlJc w:val="left"/>
      <w:pPr>
        <w:tabs>
          <w:tab w:val="num" w:pos="5760"/>
        </w:tabs>
        <w:ind w:left="5760" w:hanging="360"/>
      </w:pPr>
      <w:rPr>
        <w:rFonts w:ascii="Wingdings" w:hAnsi="Wingdings" w:hint="default"/>
      </w:rPr>
    </w:lvl>
    <w:lvl w:ilvl="8" w:tplc="A268D7A4"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4"/>
  </w:num>
  <w:num w:numId="3">
    <w:abstractNumId w:val="17"/>
  </w:num>
  <w:num w:numId="4">
    <w:abstractNumId w:val="19"/>
  </w:num>
  <w:num w:numId="5">
    <w:abstractNumId w:val="20"/>
  </w:num>
  <w:num w:numId="6">
    <w:abstractNumId w:val="20"/>
    <w:lvlOverride w:ilvl="0">
      <w:startOverride w:val="1"/>
    </w:lvlOverride>
  </w:num>
  <w:num w:numId="7">
    <w:abstractNumId w:val="23"/>
  </w:num>
  <w:num w:numId="8">
    <w:abstractNumId w:val="13"/>
  </w:num>
  <w:num w:numId="9">
    <w:abstractNumId w:val="22"/>
  </w:num>
  <w:num w:numId="10">
    <w:abstractNumId w:val="16"/>
  </w:num>
  <w:num w:numId="11">
    <w:abstractNumId w:val="12"/>
  </w:num>
  <w:num w:numId="12">
    <w:abstractNumId w:val="14"/>
  </w:num>
  <w:num w:numId="13">
    <w:abstractNumId w:val="15"/>
  </w:num>
  <w:num w:numId="14">
    <w:abstractNumId w:val="11"/>
  </w:num>
  <w:num w:numId="15">
    <w:abstractNumId w:val="18"/>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5204" w:allStyles="0" w:customStyles="0" w:latentStyles="1" w:stylesInUse="0" w:headingStyles="0" w:numberingStyles="0" w:tableStyles="0" w:directFormattingOnRuns="0" w:directFormattingOnParagraphs="1" w:directFormattingOnNumbering="0" w:directFormattingOnTables="0" w:clearFormatting="1" w:top3HeadingStyles="0" w:visibleStyles="1" w:alternateStyleNames="0"/>
  <w:defaultTabStop w:val="720"/>
  <w:hyphenationZone w:val="425"/>
  <w:drawingGridHorizontalSpacing w:val="1236"/>
  <w:drawingGridVerticalSpacing w:val="1162"/>
  <w:doNotUseMarginsForDrawingGridOrigin/>
  <w:drawingGridHorizontalOrigin w:val="1134"/>
  <w:drawingGridVerticalOrigin w:val="851"/>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4B0"/>
    <w:rsid w:val="00016848"/>
    <w:rsid w:val="0002376D"/>
    <w:rsid w:val="00044C39"/>
    <w:rsid w:val="00090D95"/>
    <w:rsid w:val="00093C2D"/>
    <w:rsid w:val="000A394D"/>
    <w:rsid w:val="000A6D95"/>
    <w:rsid w:val="000B4134"/>
    <w:rsid w:val="000B470C"/>
    <w:rsid w:val="000E4F0D"/>
    <w:rsid w:val="0010291A"/>
    <w:rsid w:val="00113F07"/>
    <w:rsid w:val="00117686"/>
    <w:rsid w:val="00134CC5"/>
    <w:rsid w:val="001422C8"/>
    <w:rsid w:val="0018014E"/>
    <w:rsid w:val="00191B64"/>
    <w:rsid w:val="001945E0"/>
    <w:rsid w:val="001A525C"/>
    <w:rsid w:val="0023225A"/>
    <w:rsid w:val="00246365"/>
    <w:rsid w:val="00247B7E"/>
    <w:rsid w:val="00250454"/>
    <w:rsid w:val="00255AEE"/>
    <w:rsid w:val="002604F8"/>
    <w:rsid w:val="00273FAE"/>
    <w:rsid w:val="002A62CC"/>
    <w:rsid w:val="002B52D1"/>
    <w:rsid w:val="002B71B4"/>
    <w:rsid w:val="002E7BC1"/>
    <w:rsid w:val="00311842"/>
    <w:rsid w:val="00335BD2"/>
    <w:rsid w:val="00351BE7"/>
    <w:rsid w:val="003C2904"/>
    <w:rsid w:val="003F7B5C"/>
    <w:rsid w:val="0041112C"/>
    <w:rsid w:val="004115E7"/>
    <w:rsid w:val="004216BF"/>
    <w:rsid w:val="00452BA8"/>
    <w:rsid w:val="004766A6"/>
    <w:rsid w:val="00482EBC"/>
    <w:rsid w:val="004870F1"/>
    <w:rsid w:val="00493F8A"/>
    <w:rsid w:val="004A065B"/>
    <w:rsid w:val="004B7A6B"/>
    <w:rsid w:val="004C7EF2"/>
    <w:rsid w:val="004D22DC"/>
    <w:rsid w:val="004D3326"/>
    <w:rsid w:val="0052782F"/>
    <w:rsid w:val="00532B00"/>
    <w:rsid w:val="00535768"/>
    <w:rsid w:val="00543A6C"/>
    <w:rsid w:val="00551B69"/>
    <w:rsid w:val="005564E2"/>
    <w:rsid w:val="005644C9"/>
    <w:rsid w:val="005654B0"/>
    <w:rsid w:val="005923DF"/>
    <w:rsid w:val="005B4131"/>
    <w:rsid w:val="005D65BE"/>
    <w:rsid w:val="00612B75"/>
    <w:rsid w:val="006260B6"/>
    <w:rsid w:val="00626AB5"/>
    <w:rsid w:val="0064227D"/>
    <w:rsid w:val="0064408B"/>
    <w:rsid w:val="006528CE"/>
    <w:rsid w:val="00660436"/>
    <w:rsid w:val="006800DD"/>
    <w:rsid w:val="00694DC0"/>
    <w:rsid w:val="006F4E69"/>
    <w:rsid w:val="006F5B98"/>
    <w:rsid w:val="0076434F"/>
    <w:rsid w:val="00791494"/>
    <w:rsid w:val="0079321C"/>
    <w:rsid w:val="007961DF"/>
    <w:rsid w:val="007A32A1"/>
    <w:rsid w:val="007B2AD8"/>
    <w:rsid w:val="007F0200"/>
    <w:rsid w:val="007F41A6"/>
    <w:rsid w:val="00805836"/>
    <w:rsid w:val="008638F8"/>
    <w:rsid w:val="008867CF"/>
    <w:rsid w:val="00890334"/>
    <w:rsid w:val="00891A75"/>
    <w:rsid w:val="008A727E"/>
    <w:rsid w:val="008C5C84"/>
    <w:rsid w:val="008F3456"/>
    <w:rsid w:val="008F3D5D"/>
    <w:rsid w:val="009D49E3"/>
    <w:rsid w:val="009F167E"/>
    <w:rsid w:val="00A17421"/>
    <w:rsid w:val="00A377F3"/>
    <w:rsid w:val="00A578D1"/>
    <w:rsid w:val="00A750A8"/>
    <w:rsid w:val="00A92F3D"/>
    <w:rsid w:val="00AC4402"/>
    <w:rsid w:val="00AD0FAF"/>
    <w:rsid w:val="00AD1A33"/>
    <w:rsid w:val="00B24AF5"/>
    <w:rsid w:val="00B26DC7"/>
    <w:rsid w:val="00B81208"/>
    <w:rsid w:val="00B82997"/>
    <w:rsid w:val="00C047EB"/>
    <w:rsid w:val="00C556C4"/>
    <w:rsid w:val="00C842D6"/>
    <w:rsid w:val="00CA00F2"/>
    <w:rsid w:val="00CB4553"/>
    <w:rsid w:val="00CF7047"/>
    <w:rsid w:val="00D07CFD"/>
    <w:rsid w:val="00D32FC1"/>
    <w:rsid w:val="00D37C9B"/>
    <w:rsid w:val="00DC3061"/>
    <w:rsid w:val="00E53259"/>
    <w:rsid w:val="00E66009"/>
    <w:rsid w:val="00E82F1F"/>
    <w:rsid w:val="00EA45DF"/>
    <w:rsid w:val="00ED023B"/>
    <w:rsid w:val="00ED0615"/>
    <w:rsid w:val="00ED2873"/>
    <w:rsid w:val="00ED680E"/>
    <w:rsid w:val="00EE091A"/>
    <w:rsid w:val="00EF2371"/>
    <w:rsid w:val="00F306CD"/>
    <w:rsid w:val="00F37212"/>
    <w:rsid w:val="00F6438A"/>
    <w:rsid w:val="00F76799"/>
    <w:rsid w:val="00F869F3"/>
    <w:rsid w:val="00F91558"/>
    <w:rsid w:val="00F9517C"/>
    <w:rsid w:val="00FB3784"/>
    <w:rsid w:val="00FD19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64E0572"/>
  <w14:defaultImageDpi w14:val="300"/>
  <w15:docId w15:val="{384936E0-3BA8-4A56-ADE3-BC1770159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obel Regular" w:eastAsiaTheme="minorEastAsia" w:hAnsi="Nobel Regular" w:cs="Nobel-Regular"/>
        <w:color w:val="231F20"/>
        <w:sz w:val="40"/>
        <w:szCs w:val="40"/>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6"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60436"/>
    <w:pPr>
      <w:spacing w:after="240" w:line="288" w:lineRule="auto"/>
      <w:contextualSpacing/>
    </w:pPr>
    <w:rPr>
      <w:rFonts w:asciiTheme="minorHAnsi" w:hAnsiTheme="minorHAnsi"/>
      <w:sz w:val="18"/>
      <w:szCs w:val="18"/>
    </w:rPr>
  </w:style>
  <w:style w:type="paragraph" w:styleId="1">
    <w:name w:val="heading 1"/>
    <w:basedOn w:val="a0"/>
    <w:next w:val="a0"/>
    <w:link w:val="10"/>
    <w:autoRedefine/>
    <w:uiPriority w:val="1"/>
    <w:qFormat/>
    <w:rsid w:val="006F4E69"/>
    <w:pPr>
      <w:spacing w:line="264" w:lineRule="auto"/>
      <w:outlineLvl w:val="0"/>
    </w:pPr>
    <w:rPr>
      <w:b/>
      <w:sz w:val="24"/>
    </w:rPr>
  </w:style>
  <w:style w:type="paragraph" w:styleId="2">
    <w:name w:val="heading 2"/>
    <w:basedOn w:val="a0"/>
    <w:next w:val="a0"/>
    <w:link w:val="20"/>
    <w:uiPriority w:val="1"/>
    <w:qFormat/>
    <w:rsid w:val="00D07CFD"/>
    <w:pPr>
      <w:keepNext/>
      <w:keepLines/>
      <w:spacing w:before="100" w:after="200" w:line="264" w:lineRule="auto"/>
      <w:outlineLvl w:val="1"/>
    </w:pPr>
    <w:rPr>
      <w:rFonts w:eastAsiaTheme="majorEastAsia" w:cs="Arial"/>
      <w:bCs/>
      <w:color w:val="E74F3D" w:themeColor="accent3"/>
      <w:sz w:val="24"/>
      <w:szCs w:val="24"/>
      <w:lang w:val="en-GB"/>
    </w:rPr>
  </w:style>
  <w:style w:type="paragraph" w:styleId="3">
    <w:name w:val="heading 3"/>
    <w:basedOn w:val="a0"/>
    <w:next w:val="a0"/>
    <w:link w:val="30"/>
    <w:uiPriority w:val="2"/>
    <w:semiHidden/>
    <w:qFormat/>
    <w:rsid w:val="00C556C4"/>
    <w:pPr>
      <w:keepNext/>
      <w:spacing w:before="240" w:after="60"/>
      <w:outlineLvl w:val="2"/>
    </w:pPr>
    <w:rPr>
      <w:b/>
      <w:bCs/>
      <w:sz w:val="24"/>
      <w:szCs w:val="26"/>
    </w:rPr>
  </w:style>
  <w:style w:type="paragraph" w:styleId="4">
    <w:name w:val="heading 4"/>
    <w:aliases w:val="Subtitle 02"/>
    <w:basedOn w:val="a0"/>
    <w:next w:val="a0"/>
    <w:link w:val="40"/>
    <w:autoRedefine/>
    <w:uiPriority w:val="3"/>
    <w:semiHidden/>
    <w:qFormat/>
    <w:rsid w:val="007B2AD8"/>
    <w:pPr>
      <w:spacing w:before="20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見出し 2 (文字)"/>
    <w:basedOn w:val="a1"/>
    <w:link w:val="2"/>
    <w:uiPriority w:val="1"/>
    <w:rsid w:val="00D07CFD"/>
    <w:rPr>
      <w:rFonts w:asciiTheme="minorHAnsi" w:eastAsiaTheme="majorEastAsia" w:hAnsiTheme="minorHAnsi" w:cs="Arial"/>
      <w:bCs/>
      <w:color w:val="E74F3D" w:themeColor="accent3"/>
      <w:sz w:val="24"/>
      <w:szCs w:val="24"/>
      <w:lang w:val="en-GB"/>
    </w:rPr>
  </w:style>
  <w:style w:type="character" w:customStyle="1" w:styleId="10">
    <w:name w:val="見出し 1 (文字)"/>
    <w:basedOn w:val="a1"/>
    <w:link w:val="1"/>
    <w:uiPriority w:val="1"/>
    <w:rsid w:val="006F4E69"/>
    <w:rPr>
      <w:rFonts w:asciiTheme="minorHAnsi" w:hAnsiTheme="minorHAnsi"/>
      <w:b/>
      <w:sz w:val="24"/>
      <w:szCs w:val="18"/>
    </w:rPr>
  </w:style>
  <w:style w:type="paragraph" w:styleId="a4">
    <w:name w:val="header"/>
    <w:link w:val="a5"/>
    <w:uiPriority w:val="6"/>
    <w:rsid w:val="00660436"/>
    <w:rPr>
      <w:rFonts w:asciiTheme="majorHAnsi" w:hAnsiTheme="majorHAnsi" w:cstheme="majorHAnsi"/>
      <w:noProof/>
      <w:color w:val="303434" w:themeColor="text1"/>
      <w:sz w:val="12"/>
      <w:szCs w:val="18"/>
      <w:lang w:val="en-GB" w:eastAsia="en-GB"/>
    </w:rPr>
  </w:style>
  <w:style w:type="character" w:customStyle="1" w:styleId="a5">
    <w:name w:val="ヘッダー (文字)"/>
    <w:basedOn w:val="a1"/>
    <w:link w:val="a4"/>
    <w:uiPriority w:val="6"/>
    <w:rsid w:val="00660436"/>
    <w:rPr>
      <w:rFonts w:asciiTheme="majorHAnsi" w:hAnsiTheme="majorHAnsi" w:cstheme="majorHAnsi"/>
      <w:noProof/>
      <w:color w:val="303434" w:themeColor="text1"/>
      <w:sz w:val="12"/>
      <w:szCs w:val="18"/>
      <w:lang w:val="en-GB" w:eastAsia="en-GB"/>
    </w:rPr>
  </w:style>
  <w:style w:type="paragraph" w:styleId="a6">
    <w:name w:val="footer"/>
    <w:basedOn w:val="a0"/>
    <w:link w:val="a7"/>
    <w:uiPriority w:val="99"/>
    <w:unhideWhenUsed/>
    <w:rsid w:val="002B52D1"/>
    <w:pPr>
      <w:tabs>
        <w:tab w:val="center" w:pos="3969"/>
        <w:tab w:val="right" w:pos="7938"/>
      </w:tabs>
      <w:spacing w:after="68"/>
      <w:ind w:left="-1134" w:right="76"/>
    </w:pPr>
    <w:rPr>
      <w:b/>
      <w:color w:val="535958" w:themeColor="text2"/>
      <w:sz w:val="20"/>
    </w:rPr>
  </w:style>
  <w:style w:type="character" w:customStyle="1" w:styleId="a7">
    <w:name w:val="フッター (文字)"/>
    <w:basedOn w:val="a1"/>
    <w:link w:val="a6"/>
    <w:uiPriority w:val="99"/>
    <w:rsid w:val="002B52D1"/>
    <w:rPr>
      <w:rFonts w:asciiTheme="minorHAnsi" w:hAnsiTheme="minorHAnsi"/>
      <w:b/>
      <w:color w:val="535958" w:themeColor="text2"/>
      <w:sz w:val="20"/>
      <w:szCs w:val="18"/>
    </w:rPr>
  </w:style>
  <w:style w:type="character" w:styleId="a8">
    <w:name w:val="page number"/>
    <w:basedOn w:val="a1"/>
    <w:uiPriority w:val="99"/>
    <w:semiHidden/>
    <w:unhideWhenUsed/>
    <w:rsid w:val="00626AB5"/>
  </w:style>
  <w:style w:type="character" w:customStyle="1" w:styleId="40">
    <w:name w:val="見出し 4 (文字)"/>
    <w:aliases w:val="Subtitle 02 (文字)"/>
    <w:basedOn w:val="a1"/>
    <w:link w:val="4"/>
    <w:uiPriority w:val="3"/>
    <w:semiHidden/>
    <w:rsid w:val="00B81208"/>
    <w:rPr>
      <w:rFonts w:asciiTheme="minorHAnsi" w:hAnsiTheme="minorHAnsi"/>
      <w:b/>
      <w:bCs/>
      <w:sz w:val="18"/>
      <w:szCs w:val="18"/>
    </w:rPr>
  </w:style>
  <w:style w:type="character" w:styleId="a9">
    <w:name w:val="Emphasis"/>
    <w:basedOn w:val="a1"/>
    <w:uiPriority w:val="4"/>
    <w:qFormat/>
    <w:rsid w:val="00C556C4"/>
    <w:rPr>
      <w:rFonts w:asciiTheme="minorHAnsi" w:hAnsiTheme="minorHAnsi"/>
      <w:i/>
      <w:iCs/>
    </w:rPr>
  </w:style>
  <w:style w:type="character" w:customStyle="1" w:styleId="30">
    <w:name w:val="見出し 3 (文字)"/>
    <w:basedOn w:val="a1"/>
    <w:link w:val="3"/>
    <w:uiPriority w:val="2"/>
    <w:semiHidden/>
    <w:rsid w:val="00B81208"/>
    <w:rPr>
      <w:rFonts w:asciiTheme="minorHAnsi" w:hAnsiTheme="minorHAnsi"/>
      <w:b/>
      <w:bCs/>
      <w:sz w:val="24"/>
      <w:szCs w:val="26"/>
    </w:rPr>
  </w:style>
  <w:style w:type="paragraph" w:styleId="a">
    <w:name w:val="List Paragraph"/>
    <w:basedOn w:val="a0"/>
    <w:autoRedefine/>
    <w:uiPriority w:val="5"/>
    <w:qFormat/>
    <w:rsid w:val="00B81208"/>
    <w:pPr>
      <w:numPr>
        <w:numId w:val="5"/>
      </w:numPr>
      <w:spacing w:before="20" w:after="20"/>
      <w:ind w:hanging="284"/>
      <w:contextualSpacing w:val="0"/>
      <w:jc w:val="both"/>
    </w:pPr>
    <w:rPr>
      <w:rFonts w:eastAsiaTheme="majorEastAsia" w:cs="Arial"/>
      <w:lang w:val="en-GB"/>
    </w:rPr>
  </w:style>
  <w:style w:type="character" w:styleId="aa">
    <w:name w:val="Hyperlink"/>
    <w:semiHidden/>
    <w:rsid w:val="005B4131"/>
    <w:rPr>
      <w:rFonts w:cs="Times New Roman"/>
      <w:color w:val="auto"/>
      <w:u w:val="none"/>
      <w:effect w:val="none"/>
    </w:rPr>
  </w:style>
  <w:style w:type="paragraph" w:customStyle="1" w:styleId="Adress">
    <w:name w:val="Adress"/>
    <w:basedOn w:val="a0"/>
    <w:qFormat/>
    <w:rsid w:val="005644C9"/>
    <w:pPr>
      <w:jc w:val="right"/>
    </w:pPr>
  </w:style>
  <w:style w:type="table" w:customStyle="1" w:styleId="GridTable1Light1">
    <w:name w:val="Grid Table 1 Light1"/>
    <w:basedOn w:val="a2"/>
    <w:uiPriority w:val="99"/>
    <w:rsid w:val="00C842D6"/>
    <w:tblPr>
      <w:tblStyleRowBandSize w:val="1"/>
      <w:tblStyleColBandSize w:val="1"/>
      <w:tblBorders>
        <w:top w:val="single" w:sz="4" w:space="0" w:color="A9B0B0" w:themeColor="text1" w:themeTint="66"/>
        <w:left w:val="single" w:sz="4" w:space="0" w:color="A9B0B0" w:themeColor="text1" w:themeTint="66"/>
        <w:bottom w:val="single" w:sz="4" w:space="0" w:color="A9B0B0" w:themeColor="text1" w:themeTint="66"/>
        <w:right w:val="single" w:sz="4" w:space="0" w:color="A9B0B0" w:themeColor="text1" w:themeTint="66"/>
        <w:insideH w:val="single" w:sz="4" w:space="0" w:color="A9B0B0" w:themeColor="text1" w:themeTint="66"/>
        <w:insideV w:val="single" w:sz="4" w:space="0" w:color="A9B0B0" w:themeColor="text1" w:themeTint="66"/>
      </w:tblBorders>
    </w:tblPr>
    <w:tblStylePr w:type="firstRow">
      <w:rPr>
        <w:b/>
        <w:bCs/>
      </w:rPr>
      <w:tblPr/>
      <w:tcPr>
        <w:tcBorders>
          <w:bottom w:val="single" w:sz="12" w:space="0" w:color="7F8989" w:themeColor="text1" w:themeTint="99"/>
        </w:tcBorders>
      </w:tcPr>
    </w:tblStylePr>
    <w:tblStylePr w:type="lastRow">
      <w:rPr>
        <w:b/>
        <w:bCs/>
      </w:rPr>
      <w:tblPr/>
      <w:tcPr>
        <w:tcBorders>
          <w:top w:val="double" w:sz="2" w:space="0" w:color="7F8989" w:themeColor="text1" w:themeTint="99"/>
        </w:tcBorders>
      </w:tcPr>
    </w:tblStylePr>
    <w:tblStylePr w:type="firstCol">
      <w:rPr>
        <w:b/>
        <w:bCs/>
      </w:rPr>
    </w:tblStylePr>
    <w:tblStylePr w:type="lastCol">
      <w:rPr>
        <w:b/>
        <w:bCs/>
      </w:rPr>
    </w:tblStylePr>
  </w:style>
  <w:style w:type="paragraph" w:customStyle="1" w:styleId="CheckListParagraph">
    <w:name w:val="Check List Paragraph"/>
    <w:basedOn w:val="a"/>
    <w:autoRedefine/>
    <w:semiHidden/>
    <w:qFormat/>
    <w:rsid w:val="008F3D5D"/>
    <w:pPr>
      <w:numPr>
        <w:numId w:val="9"/>
      </w:numPr>
      <w:spacing w:before="200" w:after="200"/>
      <w:ind w:left="641" w:hanging="357"/>
    </w:pPr>
    <w:rPr>
      <w:rFonts w:ascii="Calibri" w:hAnsi="Calibri"/>
      <w:color w:val="7C8081"/>
      <w:sz w:val="36"/>
      <w:szCs w:val="36"/>
    </w:rPr>
  </w:style>
  <w:style w:type="paragraph" w:customStyle="1" w:styleId="NumbersListParagraph">
    <w:name w:val="Numbers List Paragraph"/>
    <w:basedOn w:val="a"/>
    <w:uiPriority w:val="5"/>
    <w:qFormat/>
    <w:rsid w:val="00351BE7"/>
    <w:pPr>
      <w:numPr>
        <w:numId w:val="10"/>
      </w:numPr>
    </w:pPr>
  </w:style>
  <w:style w:type="table" w:styleId="ab">
    <w:name w:val="Table Grid"/>
    <w:aliases w:val="Table - Ertico"/>
    <w:basedOn w:val="a2"/>
    <w:uiPriority w:val="59"/>
    <w:rsid w:val="00ED680E"/>
    <w:rPr>
      <w:rFonts w:asciiTheme="minorHAnsi" w:hAnsiTheme="minorHAnsi"/>
      <w:b/>
      <w:bCs/>
      <w:color w:val="303434" w:themeColor="text1"/>
      <w:sz w:val="20"/>
      <w:szCs w:val="20"/>
    </w:rPr>
    <w:tblPr>
      <w:tblStyleRowBandSize w:val="1"/>
      <w:tblInd w:w="113" w:type="dxa"/>
      <w:tblBorders>
        <w:top w:val="single" w:sz="4" w:space="0" w:color="auto"/>
        <w:bottom w:val="single" w:sz="4" w:space="0" w:color="410099" w:themeColor="accent2"/>
        <w:insideH w:val="single" w:sz="2" w:space="0" w:color="BDC7C4" w:themeColor="background2"/>
        <w:insideV w:val="single" w:sz="2" w:space="0" w:color="BDC7C4" w:themeColor="background2"/>
      </w:tblBorders>
    </w:tblPr>
    <w:tcPr>
      <w:shd w:val="clear" w:color="auto" w:fill="auto"/>
      <w:tcMar>
        <w:top w:w="28" w:type="dxa"/>
        <w:bottom w:w="28" w:type="dxa"/>
      </w:tcMar>
    </w:tcPr>
  </w:style>
  <w:style w:type="numbering" w:customStyle="1" w:styleId="NumbsList">
    <w:name w:val="Numbs List"/>
    <w:basedOn w:val="a3"/>
    <w:uiPriority w:val="99"/>
    <w:rsid w:val="005564E2"/>
    <w:pPr>
      <w:numPr>
        <w:numId w:val="15"/>
      </w:numPr>
    </w:pPr>
  </w:style>
  <w:style w:type="paragraph" w:customStyle="1" w:styleId="TableTitle">
    <w:name w:val="Table Title"/>
    <w:basedOn w:val="a0"/>
    <w:qFormat/>
    <w:rsid w:val="00C842D6"/>
    <w:rPr>
      <w:b/>
      <w:color w:val="BDC7C4" w:themeColor="background2"/>
    </w:rPr>
  </w:style>
  <w:style w:type="paragraph" w:styleId="ac">
    <w:name w:val="Title"/>
    <w:next w:val="a0"/>
    <w:link w:val="ad"/>
    <w:qFormat/>
    <w:rsid w:val="00D07CFD"/>
    <w:rPr>
      <w:rFonts w:asciiTheme="minorHAnsi" w:eastAsiaTheme="majorEastAsia" w:hAnsiTheme="minorHAnsi" w:cs="Arial"/>
      <w:b/>
      <w:bCs/>
      <w:caps/>
      <w:color w:val="E74F3D" w:themeColor="accent3"/>
      <w:sz w:val="56"/>
      <w:szCs w:val="56"/>
      <w:lang w:val="en-GB"/>
    </w:rPr>
  </w:style>
  <w:style w:type="character" w:customStyle="1" w:styleId="ad">
    <w:name w:val="表題 (文字)"/>
    <w:basedOn w:val="a1"/>
    <w:link w:val="ac"/>
    <w:rsid w:val="00D07CFD"/>
    <w:rPr>
      <w:rFonts w:asciiTheme="minorHAnsi" w:eastAsiaTheme="majorEastAsia" w:hAnsiTheme="minorHAnsi" w:cs="Arial"/>
      <w:b/>
      <w:bCs/>
      <w:caps/>
      <w:color w:val="E74F3D" w:themeColor="accent3"/>
      <w:sz w:val="56"/>
      <w:szCs w:val="56"/>
      <w:lang w:val="en-GB"/>
    </w:rPr>
  </w:style>
  <w:style w:type="paragraph" w:customStyle="1" w:styleId="SubTitleBold">
    <w:name w:val="SubTitle Bold"/>
    <w:basedOn w:val="a0"/>
    <w:next w:val="a0"/>
    <w:autoRedefine/>
    <w:semiHidden/>
    <w:qFormat/>
    <w:rsid w:val="001945E0"/>
    <w:pPr>
      <w:tabs>
        <w:tab w:val="left" w:pos="2552"/>
      </w:tabs>
      <w:jc w:val="both"/>
    </w:pPr>
    <w:rPr>
      <w:b/>
      <w:color w:val="303434" w:themeColor="text1"/>
    </w:rPr>
  </w:style>
  <w:style w:type="paragraph" w:styleId="ae">
    <w:name w:val="footnote text"/>
    <w:basedOn w:val="a0"/>
    <w:link w:val="af"/>
    <w:uiPriority w:val="99"/>
    <w:semiHidden/>
    <w:unhideWhenUsed/>
    <w:rsid w:val="004216BF"/>
    <w:pPr>
      <w:spacing w:after="0"/>
    </w:pPr>
    <w:rPr>
      <w:sz w:val="24"/>
      <w:szCs w:val="24"/>
    </w:rPr>
  </w:style>
  <w:style w:type="character" w:customStyle="1" w:styleId="af">
    <w:name w:val="脚注文字列 (文字)"/>
    <w:basedOn w:val="a1"/>
    <w:link w:val="ae"/>
    <w:uiPriority w:val="99"/>
    <w:semiHidden/>
    <w:rsid w:val="004216BF"/>
    <w:rPr>
      <w:rFonts w:ascii="Calibri Light" w:eastAsia="Times New Roman" w:hAnsi="Calibri Light" w:cs="Times New Roman"/>
      <w:b/>
      <w:bCs/>
      <w:color w:val="410099" w:themeColor="accent2"/>
      <w:spacing w:val="-4"/>
      <w:sz w:val="24"/>
      <w:szCs w:val="24"/>
      <w:lang w:val="fr-BE" w:eastAsia="en-US"/>
    </w:rPr>
  </w:style>
  <w:style w:type="character" w:styleId="af0">
    <w:name w:val="footnote reference"/>
    <w:basedOn w:val="a1"/>
    <w:uiPriority w:val="99"/>
    <w:semiHidden/>
    <w:unhideWhenUsed/>
    <w:rsid w:val="004216BF"/>
    <w:rPr>
      <w:vertAlign w:val="superscript"/>
    </w:rPr>
  </w:style>
  <w:style w:type="table" w:customStyle="1" w:styleId="Ertico-Table01">
    <w:name w:val="Ertico - Table 01"/>
    <w:basedOn w:val="a2"/>
    <w:uiPriority w:val="99"/>
    <w:rsid w:val="004C7EF2"/>
    <w:rPr>
      <w:rFonts w:ascii="Calibri" w:hAnsi="Calibri"/>
    </w:rPr>
    <w:tblPr>
      <w:tblBorders>
        <w:top w:val="single" w:sz="4" w:space="0" w:color="auto"/>
        <w:left w:val="single" w:sz="4" w:space="0" w:color="auto"/>
        <w:bottom w:val="single" w:sz="4" w:space="0" w:color="auto"/>
        <w:right w:val="single" w:sz="4" w:space="0" w:color="auto"/>
      </w:tblBorders>
    </w:tblPr>
    <w:tcPr>
      <w:shd w:val="clear" w:color="auto" w:fill="FFFFFF" w:themeFill="background1"/>
    </w:tcPr>
  </w:style>
  <w:style w:type="character" w:styleId="af1">
    <w:name w:val="Subtle Emphasis"/>
    <w:basedOn w:val="a1"/>
    <w:uiPriority w:val="19"/>
    <w:semiHidden/>
    <w:qFormat/>
    <w:rsid w:val="00F37212"/>
    <w:rPr>
      <w:i/>
      <w:iCs/>
      <w:color w:val="949D9D" w:themeColor="text1" w:themeTint="7F"/>
    </w:rPr>
  </w:style>
  <w:style w:type="character" w:styleId="21">
    <w:name w:val="Intense Emphasis"/>
    <w:basedOn w:val="a1"/>
    <w:uiPriority w:val="21"/>
    <w:semiHidden/>
    <w:qFormat/>
    <w:rsid w:val="00F37212"/>
    <w:rPr>
      <w:b w:val="0"/>
      <w:bCs w:val="0"/>
      <w:i/>
      <w:iCs/>
      <w:color w:val="45C2B1" w:themeColor="accent1"/>
    </w:rPr>
  </w:style>
  <w:style w:type="character" w:styleId="af2">
    <w:name w:val="Strong"/>
    <w:basedOn w:val="a1"/>
    <w:uiPriority w:val="4"/>
    <w:qFormat/>
    <w:rsid w:val="0064227D"/>
    <w:rPr>
      <w:rFonts w:asciiTheme="minorHAnsi" w:hAnsiTheme="minorHAnsi"/>
      <w:b/>
      <w:bCs w:val="0"/>
    </w:rPr>
  </w:style>
  <w:style w:type="paragraph" w:styleId="af3">
    <w:name w:val="Balloon Text"/>
    <w:basedOn w:val="a0"/>
    <w:link w:val="af4"/>
    <w:uiPriority w:val="99"/>
    <w:semiHidden/>
    <w:unhideWhenUsed/>
    <w:rsid w:val="00A17421"/>
    <w:pPr>
      <w:spacing w:after="0"/>
    </w:pPr>
    <w:rPr>
      <w:rFonts w:ascii="Segoe UI" w:hAnsi="Segoe UI" w:cs="Segoe UI"/>
    </w:rPr>
  </w:style>
  <w:style w:type="character" w:customStyle="1" w:styleId="af4">
    <w:name w:val="吹き出し (文字)"/>
    <w:basedOn w:val="a1"/>
    <w:link w:val="af3"/>
    <w:uiPriority w:val="99"/>
    <w:semiHidden/>
    <w:rsid w:val="00A17421"/>
    <w:rPr>
      <w:rFonts w:ascii="Segoe UI" w:eastAsia="Times New Roman" w:hAnsi="Segoe UI" w:cs="Segoe UI"/>
      <w:b/>
      <w:bCs/>
      <w:color w:val="410099" w:themeColor="accent2"/>
      <w:spacing w:val="-4"/>
      <w:sz w:val="18"/>
      <w:szCs w:val="18"/>
      <w:lang w:val="fr-BE" w:eastAsia="en-US"/>
    </w:rPr>
  </w:style>
  <w:style w:type="character" w:styleId="af5">
    <w:name w:val="annotation reference"/>
    <w:basedOn w:val="a1"/>
    <w:uiPriority w:val="99"/>
    <w:semiHidden/>
    <w:unhideWhenUsed/>
    <w:rsid w:val="008638F8"/>
    <w:rPr>
      <w:sz w:val="16"/>
      <w:szCs w:val="16"/>
    </w:rPr>
  </w:style>
  <w:style w:type="paragraph" w:styleId="af6">
    <w:name w:val="annotation text"/>
    <w:basedOn w:val="a0"/>
    <w:link w:val="af7"/>
    <w:uiPriority w:val="99"/>
    <w:semiHidden/>
    <w:unhideWhenUsed/>
    <w:rsid w:val="008638F8"/>
    <w:pPr>
      <w:spacing w:line="240" w:lineRule="auto"/>
    </w:pPr>
    <w:rPr>
      <w:sz w:val="20"/>
      <w:szCs w:val="20"/>
    </w:rPr>
  </w:style>
  <w:style w:type="character" w:customStyle="1" w:styleId="af7">
    <w:name w:val="コメント文字列 (文字)"/>
    <w:basedOn w:val="a1"/>
    <w:link w:val="af6"/>
    <w:uiPriority w:val="99"/>
    <w:semiHidden/>
    <w:rsid w:val="008638F8"/>
    <w:rPr>
      <w:rFonts w:asciiTheme="minorHAnsi" w:hAnsiTheme="minorHAnsi"/>
      <w:sz w:val="20"/>
      <w:szCs w:val="20"/>
    </w:rPr>
  </w:style>
  <w:style w:type="paragraph" w:styleId="af8">
    <w:name w:val="annotation subject"/>
    <w:basedOn w:val="af6"/>
    <w:next w:val="af6"/>
    <w:link w:val="af9"/>
    <w:uiPriority w:val="99"/>
    <w:semiHidden/>
    <w:unhideWhenUsed/>
    <w:rsid w:val="008638F8"/>
    <w:rPr>
      <w:b/>
      <w:bCs/>
    </w:rPr>
  </w:style>
  <w:style w:type="character" w:customStyle="1" w:styleId="af9">
    <w:name w:val="コメント内容 (文字)"/>
    <w:basedOn w:val="af7"/>
    <w:link w:val="af8"/>
    <w:uiPriority w:val="99"/>
    <w:semiHidden/>
    <w:rsid w:val="008638F8"/>
    <w:rPr>
      <w:rFonts w:asciiTheme="minorHAnsi" w:hAnsi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ERTICO">
  <a:themeElements>
    <a:clrScheme name="ERTICO">
      <a:dk1>
        <a:srgbClr val="303434"/>
      </a:dk1>
      <a:lt1>
        <a:sysClr val="window" lastClr="FFFFFF"/>
      </a:lt1>
      <a:dk2>
        <a:srgbClr val="535958"/>
      </a:dk2>
      <a:lt2>
        <a:srgbClr val="BDC7C4"/>
      </a:lt2>
      <a:accent1>
        <a:srgbClr val="45C2B1"/>
      </a:accent1>
      <a:accent2>
        <a:srgbClr val="410099"/>
      </a:accent2>
      <a:accent3>
        <a:srgbClr val="E74F3D"/>
      </a:accent3>
      <a:accent4>
        <a:srgbClr val="FFB71B"/>
      </a:accent4>
      <a:accent5>
        <a:srgbClr val="49B170"/>
      </a:accent5>
      <a:accent6>
        <a:srgbClr val="00B1EB"/>
      </a:accent6>
      <a:hlink>
        <a:srgbClr val="27348B"/>
      </a:hlink>
      <a:folHlink>
        <a:srgbClr val="432D6A"/>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RTICO" id="{84928CE9-376A-4BB2-9712-052B4D705947}" vid="{5F186A59-35BE-4560-AEF7-6D9C70FCE2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3CD53-ECB9-4A6A-B3E2-1D08A8DC1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427</Words>
  <Characters>2437</Characters>
  <Application>Microsoft Office Word</Application>
  <DocSecurity>0</DocSecurity>
  <Lines>20</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Lecocq</dc:creator>
  <cp:lastModifiedBy>世木 隆明</cp:lastModifiedBy>
  <cp:revision>3</cp:revision>
  <cp:lastPrinted>2019-11-06T23:43:00Z</cp:lastPrinted>
  <dcterms:created xsi:type="dcterms:W3CDTF">2019-11-06T23:48:00Z</dcterms:created>
  <dcterms:modified xsi:type="dcterms:W3CDTF">2019-11-06T23:51:00Z</dcterms:modified>
</cp:coreProperties>
</file>